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3BF41">
      <w:r>
        <w:rPr>
          <w:rFonts w:hint="eastAsia"/>
        </w:rPr>
        <w:t xml:space="preserve"> </w:t>
      </w:r>
    </w:p>
    <w:p w14:paraId="2780D1AF">
      <w:pPr>
        <w:rPr>
          <w:rFonts w:hint="eastAsia"/>
          <w:sz w:val="28"/>
          <w:szCs w:val="28"/>
        </w:rPr>
      </w:pPr>
    </w:p>
    <w:p w14:paraId="4371252A">
      <w:pPr>
        <w:rPr>
          <w:rFonts w:hint="eastAsia"/>
          <w:sz w:val="28"/>
          <w:szCs w:val="28"/>
        </w:rPr>
      </w:pPr>
    </w:p>
    <w:p w14:paraId="2798C5B8">
      <w:pPr>
        <w:rPr>
          <w:sz w:val="28"/>
          <w:szCs w:val="28"/>
        </w:rPr>
      </w:pPr>
    </w:p>
    <w:p w14:paraId="0D92708D">
      <w:pPr>
        <w:jc w:val="center"/>
        <w:rPr>
          <w:rFonts w:hint="eastAsia"/>
          <w:sz w:val="44"/>
          <w:szCs w:val="44"/>
        </w:rPr>
      </w:pPr>
      <w:r>
        <w:rPr>
          <w:rFonts w:hint="eastAsia"/>
          <w:sz w:val="44"/>
          <w:szCs w:val="44"/>
        </w:rPr>
        <w:t>《互感器产品碳足迹核算指南》团体标准</w:t>
      </w:r>
    </w:p>
    <w:p w14:paraId="2242AE56">
      <w:pPr>
        <w:jc w:val="center"/>
        <w:rPr>
          <w:rFonts w:hint="eastAsia"/>
          <w:sz w:val="44"/>
          <w:szCs w:val="44"/>
        </w:rPr>
      </w:pPr>
    </w:p>
    <w:p w14:paraId="72461988">
      <w:pPr>
        <w:jc w:val="center"/>
        <w:rPr>
          <w:rFonts w:hint="eastAsia"/>
          <w:sz w:val="44"/>
          <w:szCs w:val="44"/>
        </w:rPr>
      </w:pPr>
      <w:r>
        <w:rPr>
          <w:rFonts w:hint="eastAsia"/>
          <w:sz w:val="44"/>
          <w:szCs w:val="44"/>
        </w:rPr>
        <w:t>编制说明</w:t>
      </w:r>
    </w:p>
    <w:p w14:paraId="20257FD0">
      <w:pPr>
        <w:jc w:val="center"/>
        <w:rPr>
          <w:rFonts w:hint="eastAsia"/>
          <w:sz w:val="44"/>
          <w:szCs w:val="44"/>
        </w:rPr>
      </w:pPr>
    </w:p>
    <w:p w14:paraId="6185E7DB">
      <w:pPr>
        <w:jc w:val="center"/>
        <w:rPr>
          <w:rFonts w:hint="eastAsia"/>
          <w:sz w:val="44"/>
          <w:szCs w:val="44"/>
        </w:rPr>
      </w:pPr>
    </w:p>
    <w:p w14:paraId="66FE0F84">
      <w:pPr>
        <w:jc w:val="center"/>
        <w:rPr>
          <w:rFonts w:hint="eastAsia"/>
          <w:sz w:val="44"/>
          <w:szCs w:val="44"/>
        </w:rPr>
      </w:pPr>
    </w:p>
    <w:p w14:paraId="19F9C932">
      <w:pPr>
        <w:jc w:val="center"/>
        <w:rPr>
          <w:rFonts w:hint="eastAsia"/>
          <w:sz w:val="44"/>
          <w:szCs w:val="44"/>
        </w:rPr>
      </w:pPr>
    </w:p>
    <w:p w14:paraId="37EC8DB4">
      <w:pPr>
        <w:jc w:val="center"/>
        <w:rPr>
          <w:rFonts w:hint="eastAsia"/>
          <w:sz w:val="44"/>
          <w:szCs w:val="44"/>
        </w:rPr>
      </w:pPr>
    </w:p>
    <w:p w14:paraId="67DA2EFA">
      <w:pPr>
        <w:jc w:val="center"/>
        <w:rPr>
          <w:rFonts w:hint="eastAsia"/>
          <w:sz w:val="44"/>
          <w:szCs w:val="44"/>
        </w:rPr>
      </w:pPr>
    </w:p>
    <w:p w14:paraId="041B42E5">
      <w:pPr>
        <w:jc w:val="center"/>
        <w:rPr>
          <w:rFonts w:hint="eastAsia"/>
          <w:sz w:val="44"/>
          <w:szCs w:val="44"/>
        </w:rPr>
      </w:pPr>
    </w:p>
    <w:p w14:paraId="7BF5DE81">
      <w:pPr>
        <w:jc w:val="center"/>
        <w:rPr>
          <w:rFonts w:hint="eastAsia"/>
          <w:sz w:val="44"/>
          <w:szCs w:val="44"/>
        </w:rPr>
      </w:pPr>
    </w:p>
    <w:p w14:paraId="5C55363F">
      <w:pPr>
        <w:jc w:val="center"/>
        <w:rPr>
          <w:rFonts w:hint="eastAsia"/>
          <w:sz w:val="44"/>
          <w:szCs w:val="44"/>
        </w:rPr>
      </w:pPr>
    </w:p>
    <w:p w14:paraId="1664C5CD">
      <w:pPr>
        <w:jc w:val="center"/>
        <w:rPr>
          <w:rFonts w:hint="eastAsia"/>
          <w:sz w:val="44"/>
          <w:szCs w:val="44"/>
        </w:rPr>
      </w:pPr>
    </w:p>
    <w:p w14:paraId="398ADFE7">
      <w:pPr>
        <w:jc w:val="center"/>
        <w:rPr>
          <w:rFonts w:hint="eastAsia"/>
          <w:sz w:val="44"/>
          <w:szCs w:val="44"/>
        </w:rPr>
      </w:pPr>
    </w:p>
    <w:p w14:paraId="57D5A18F">
      <w:pPr>
        <w:jc w:val="center"/>
        <w:rPr>
          <w:rFonts w:hint="eastAsia"/>
          <w:sz w:val="44"/>
          <w:szCs w:val="44"/>
        </w:rPr>
      </w:pPr>
    </w:p>
    <w:p w14:paraId="359CBB6D">
      <w:pPr>
        <w:jc w:val="center"/>
        <w:rPr>
          <w:rFonts w:hint="eastAsia"/>
          <w:sz w:val="44"/>
          <w:szCs w:val="44"/>
        </w:rPr>
      </w:pPr>
    </w:p>
    <w:p w14:paraId="62D97CBD">
      <w:pPr>
        <w:jc w:val="center"/>
        <w:rPr>
          <w:rFonts w:hint="eastAsia"/>
          <w:sz w:val="44"/>
          <w:szCs w:val="44"/>
        </w:rPr>
      </w:pPr>
    </w:p>
    <w:p w14:paraId="456220AC">
      <w:pPr>
        <w:jc w:val="center"/>
        <w:rPr>
          <w:rFonts w:hint="eastAsia"/>
          <w:sz w:val="44"/>
          <w:szCs w:val="44"/>
        </w:rPr>
      </w:pPr>
    </w:p>
    <w:p w14:paraId="46DD2D13">
      <w:pPr>
        <w:rPr>
          <w:sz w:val="28"/>
          <w:szCs w:val="28"/>
        </w:rPr>
      </w:pPr>
    </w:p>
    <w:p w14:paraId="4F2B3A82">
      <w:pPr>
        <w:rPr>
          <w:sz w:val="28"/>
          <w:szCs w:val="28"/>
        </w:rPr>
      </w:pPr>
      <w:r>
        <w:rPr>
          <w:rFonts w:hint="eastAsia"/>
          <w:sz w:val="28"/>
          <w:szCs w:val="28"/>
        </w:rPr>
        <w:t>一、 编制背景与目的</w:t>
      </w:r>
    </w:p>
    <w:p w14:paraId="585AD594">
      <w:pPr>
        <w:rPr>
          <w:rFonts w:hint="eastAsia"/>
          <w:sz w:val="28"/>
          <w:szCs w:val="28"/>
        </w:rPr>
      </w:pPr>
      <w:r>
        <w:rPr>
          <w:rFonts w:hint="eastAsia"/>
          <w:sz w:val="28"/>
          <w:szCs w:val="28"/>
        </w:rPr>
        <w:t>（一）编制背景</w:t>
      </w:r>
    </w:p>
    <w:p w14:paraId="704B7F37">
      <w:pPr>
        <w:rPr>
          <w:sz w:val="28"/>
          <w:szCs w:val="28"/>
        </w:rPr>
      </w:pPr>
      <w:r>
        <w:rPr>
          <w:rFonts w:hint="eastAsia"/>
          <w:sz w:val="28"/>
          <w:szCs w:val="28"/>
        </w:rPr>
        <w:t xml:space="preserve">    随着全球应对气候变化的共识不断增强，我国“双碳”战略的深入推进，构建绿色低碳循环发展经济体系已成为国家战略重点。电力装备制造业作为能源系统的基石，其绿色低碳转型至关重要。互感器作为电网计量、保护与控制的关键设备，其全生命周期的碳排放情况日益受到产业链上下游及社会各界的关注。</w:t>
      </w:r>
    </w:p>
    <w:p w14:paraId="258290A5">
      <w:pPr>
        <w:rPr>
          <w:sz w:val="28"/>
          <w:szCs w:val="28"/>
        </w:rPr>
      </w:pPr>
      <w:r>
        <w:rPr>
          <w:rFonts w:hint="eastAsia"/>
          <w:sz w:val="28"/>
          <w:szCs w:val="28"/>
        </w:rPr>
        <w:t xml:space="preserve">    目前，国际标准化组织（ISO）发布的ISO 14067以及世界资源研究所（WRI）与世界可持续发展工商理事会（WBCSD）发布的GHG Protocol Product Standard为产品碳足迹核算提供了国际通行的方法论。然而，这些标准均为通用框架，缺乏对特定行业，特别是互感器这种材料与工艺复杂的电力装备产品的具体指导。国内互感器制造企业在开展碳足迹核算时，普遍面临系统边界不统一、关键数据获取困难、分配原则不明确等问题，导致核算结果可比性差、指导减排决策的效用低。</w:t>
      </w:r>
    </w:p>
    <w:p w14:paraId="2CC54AF6">
      <w:pPr>
        <w:rPr>
          <w:rFonts w:hint="eastAsia"/>
          <w:sz w:val="28"/>
          <w:szCs w:val="28"/>
        </w:rPr>
      </w:pPr>
      <w:r>
        <w:rPr>
          <w:rFonts w:hint="eastAsia"/>
          <w:sz w:val="28"/>
          <w:szCs w:val="28"/>
        </w:rPr>
        <w:t xml:space="preserve">    为此，亟需制定一份贴合行业实际、兼具科学性与操作性的团体标准，为互感器产品碳足迹核算提供统一、规范的方法学指南。</w:t>
      </w:r>
    </w:p>
    <w:p w14:paraId="21D95F39">
      <w:pPr>
        <w:rPr>
          <w:sz w:val="28"/>
          <w:szCs w:val="28"/>
        </w:rPr>
      </w:pPr>
    </w:p>
    <w:p w14:paraId="7592AC89">
      <w:pPr>
        <w:rPr>
          <w:sz w:val="28"/>
          <w:szCs w:val="28"/>
        </w:rPr>
      </w:pPr>
      <w:r>
        <w:rPr>
          <w:rFonts w:hint="eastAsia"/>
          <w:sz w:val="28"/>
          <w:szCs w:val="28"/>
        </w:rPr>
        <w:t>（二）编制目的</w:t>
      </w:r>
    </w:p>
    <w:p w14:paraId="3318096F">
      <w:pPr>
        <w:rPr>
          <w:rFonts w:hint="eastAsia"/>
          <w:sz w:val="28"/>
          <w:szCs w:val="28"/>
        </w:rPr>
      </w:pPr>
      <w:r>
        <w:rPr>
          <w:rFonts w:hint="eastAsia"/>
          <w:sz w:val="28"/>
          <w:szCs w:val="28"/>
        </w:rPr>
        <w:t>1. 统一核算口径： 为行业内各企业提供一致的产品碳足迹核算方法、系统边界和数据要求，确保核算结果的可比性。</w:t>
      </w:r>
    </w:p>
    <w:p w14:paraId="0C9DB14F">
      <w:pPr>
        <w:rPr>
          <w:rFonts w:hint="eastAsia"/>
          <w:sz w:val="28"/>
          <w:szCs w:val="28"/>
        </w:rPr>
      </w:pPr>
      <w:r>
        <w:rPr>
          <w:rFonts w:hint="eastAsia"/>
          <w:sz w:val="28"/>
          <w:szCs w:val="28"/>
        </w:rPr>
        <w:t>2. 指导企业实践： 降低企业，特别是中小企业开展碳足迹核算的技术门槛，提供清晰、可落地的操作指引。</w:t>
      </w:r>
    </w:p>
    <w:p w14:paraId="3CF8E9E1">
      <w:pPr>
        <w:rPr>
          <w:rFonts w:hint="eastAsia"/>
          <w:sz w:val="28"/>
          <w:szCs w:val="28"/>
        </w:rPr>
      </w:pPr>
      <w:r>
        <w:rPr>
          <w:rFonts w:hint="eastAsia"/>
          <w:sz w:val="28"/>
          <w:szCs w:val="28"/>
        </w:rPr>
        <w:t>3. 识别减排重点： 通过标准化的核算，帮助企业精准识别产品全生命周期中的碳排热点，为工艺改进、供应链管理和生态设计提供科学依据。</w:t>
      </w:r>
    </w:p>
    <w:p w14:paraId="11EFC961">
      <w:pPr>
        <w:rPr>
          <w:rFonts w:hint="eastAsia"/>
          <w:sz w:val="28"/>
          <w:szCs w:val="28"/>
        </w:rPr>
      </w:pPr>
      <w:r>
        <w:rPr>
          <w:rFonts w:hint="eastAsia"/>
          <w:sz w:val="28"/>
          <w:szCs w:val="28"/>
        </w:rPr>
        <w:t>4. 响应外部需求： 助力企业应对国内外绿色采购、碳标签、ESG信息披露等要求，提升产品市场竞争力。</w:t>
      </w:r>
    </w:p>
    <w:p w14:paraId="2FE8AD17">
      <w:pPr>
        <w:rPr>
          <w:rFonts w:hint="eastAsia"/>
          <w:sz w:val="28"/>
          <w:szCs w:val="28"/>
        </w:rPr>
      </w:pPr>
      <w:r>
        <w:rPr>
          <w:rFonts w:hint="eastAsia"/>
          <w:sz w:val="28"/>
          <w:szCs w:val="28"/>
        </w:rPr>
        <w:t>5. 支撑行业低碳发展： 为整个互感器行业建立碳足迹数据库、制定碳减排路线图奠定基础，推动行业绿色高质量发展。</w:t>
      </w:r>
    </w:p>
    <w:p w14:paraId="0EF81E0F">
      <w:pPr>
        <w:rPr>
          <w:sz w:val="28"/>
          <w:szCs w:val="28"/>
        </w:rPr>
      </w:pPr>
    </w:p>
    <w:p w14:paraId="5084BA3A">
      <w:pPr>
        <w:rPr>
          <w:sz w:val="28"/>
          <w:szCs w:val="28"/>
        </w:rPr>
      </w:pPr>
      <w:r>
        <w:rPr>
          <w:rFonts w:hint="eastAsia"/>
          <w:sz w:val="28"/>
          <w:szCs w:val="28"/>
        </w:rPr>
        <w:t>二、 编制过程与依据</w:t>
      </w:r>
    </w:p>
    <w:p w14:paraId="24F63F7A">
      <w:pPr>
        <w:rPr>
          <w:rFonts w:hint="eastAsia"/>
          <w:sz w:val="28"/>
          <w:szCs w:val="28"/>
        </w:rPr>
      </w:pPr>
      <w:r>
        <w:rPr>
          <w:rFonts w:hint="eastAsia"/>
          <w:sz w:val="28"/>
          <w:szCs w:val="28"/>
        </w:rPr>
        <w:t>（一）编制过程</w:t>
      </w:r>
    </w:p>
    <w:p w14:paraId="624DB26C">
      <w:pPr>
        <w:rPr>
          <w:sz w:val="28"/>
          <w:szCs w:val="28"/>
        </w:rPr>
      </w:pPr>
      <w:r>
        <w:rPr>
          <w:rFonts w:hint="eastAsia"/>
          <w:sz w:val="28"/>
          <w:szCs w:val="28"/>
        </w:rPr>
        <w:t>本标准由[发起单位，如：中国电器工业协会]于[年份]年[月份]提出并归口。成立了由主要互感器制造企业、科研院所、检测认证机构及上下游企业专家组成的起草工作组。工作组系统研究了国内外相关标准，调研了多家代表性企业的生产工艺与碳排放现状，经过多次内部讨论、专家咨询和修改完善，形成了本征求意见稿。</w:t>
      </w:r>
    </w:p>
    <w:p w14:paraId="60AF8E6E">
      <w:pPr>
        <w:rPr>
          <w:rFonts w:hint="eastAsia"/>
          <w:sz w:val="28"/>
          <w:szCs w:val="28"/>
        </w:rPr>
      </w:pPr>
      <w:r>
        <w:rPr>
          <w:rFonts w:hint="eastAsia"/>
          <w:sz w:val="28"/>
          <w:szCs w:val="28"/>
        </w:rPr>
        <w:t>（二）编制依据</w:t>
      </w:r>
    </w:p>
    <w:p w14:paraId="6916A471">
      <w:pPr>
        <w:rPr>
          <w:sz w:val="28"/>
          <w:szCs w:val="28"/>
        </w:rPr>
      </w:pPr>
      <w:r>
        <w:rPr>
          <w:rFonts w:hint="eastAsia"/>
          <w:sz w:val="28"/>
          <w:szCs w:val="28"/>
        </w:rPr>
        <w:t>本标准主要参考和依据以下国内外标准与文件：</w:t>
      </w:r>
    </w:p>
    <w:p w14:paraId="3ED89674">
      <w:pPr>
        <w:rPr>
          <w:rFonts w:hint="eastAsia"/>
          <w:sz w:val="28"/>
          <w:szCs w:val="28"/>
        </w:rPr>
      </w:pPr>
      <w:r>
        <w:rPr>
          <w:rFonts w:hint="eastAsia"/>
          <w:sz w:val="28"/>
          <w:szCs w:val="28"/>
        </w:rPr>
        <w:t>GB/T 24040 / ISO 14040 《环境管理 生命周期评价 原则与框架》</w:t>
      </w:r>
    </w:p>
    <w:p w14:paraId="18526437">
      <w:pPr>
        <w:rPr>
          <w:rFonts w:hint="eastAsia"/>
          <w:sz w:val="28"/>
          <w:szCs w:val="28"/>
        </w:rPr>
      </w:pPr>
      <w:r>
        <w:rPr>
          <w:rFonts w:hint="eastAsia"/>
          <w:sz w:val="28"/>
          <w:szCs w:val="28"/>
        </w:rPr>
        <w:t>GB/T 24044 / ISO 14044 《环境管理 生命周期评价 要求与指南》</w:t>
      </w:r>
    </w:p>
    <w:p w14:paraId="2CAE1C51">
      <w:pPr>
        <w:rPr>
          <w:rFonts w:hint="eastAsia"/>
          <w:sz w:val="28"/>
          <w:szCs w:val="28"/>
        </w:rPr>
      </w:pPr>
      <w:r>
        <w:rPr>
          <w:rFonts w:hint="eastAsia"/>
          <w:sz w:val="28"/>
          <w:szCs w:val="28"/>
        </w:rPr>
        <w:t>GB/T 24067 / ISO 14067 《温室气体 产品的碳足迹 量化和沟通的要求与指南》（核心方法论基础）</w:t>
      </w:r>
    </w:p>
    <w:p w14:paraId="2B8E200D">
      <w:pPr>
        <w:rPr>
          <w:sz w:val="28"/>
          <w:szCs w:val="28"/>
        </w:rPr>
      </w:pPr>
      <w:r>
        <w:rPr>
          <w:sz w:val="28"/>
          <w:szCs w:val="28"/>
        </w:rPr>
        <w:t>GHG Protocol Product Life Cycle Accounting and Reporting Standard</w:t>
      </w:r>
    </w:p>
    <w:p w14:paraId="262E7E34">
      <w:pPr>
        <w:rPr>
          <w:rFonts w:hint="eastAsia"/>
          <w:sz w:val="28"/>
          <w:szCs w:val="28"/>
        </w:rPr>
      </w:pPr>
      <w:r>
        <w:rPr>
          <w:rFonts w:hint="eastAsia"/>
          <w:sz w:val="28"/>
          <w:szCs w:val="28"/>
        </w:rPr>
        <w:t>其他相关国家标准及行业报告。</w:t>
      </w:r>
    </w:p>
    <w:p w14:paraId="074CBB92">
      <w:pPr>
        <w:rPr>
          <w:sz w:val="28"/>
          <w:szCs w:val="28"/>
        </w:rPr>
      </w:pPr>
    </w:p>
    <w:p w14:paraId="18DEFC5C">
      <w:pPr>
        <w:rPr>
          <w:sz w:val="28"/>
          <w:szCs w:val="28"/>
        </w:rPr>
      </w:pPr>
      <w:r>
        <w:rPr>
          <w:rFonts w:hint="eastAsia"/>
          <w:sz w:val="28"/>
          <w:szCs w:val="28"/>
        </w:rPr>
        <w:t>三、 主要技术内容及说明</w:t>
      </w:r>
    </w:p>
    <w:p w14:paraId="34E4CECA">
      <w:pPr>
        <w:rPr>
          <w:sz w:val="28"/>
          <w:szCs w:val="28"/>
        </w:rPr>
      </w:pPr>
      <w:r>
        <w:rPr>
          <w:rFonts w:hint="eastAsia"/>
          <w:sz w:val="28"/>
          <w:szCs w:val="28"/>
        </w:rPr>
        <w:t xml:space="preserve">    本标准的核心技术内容在严格遵循ISO 14067等国际标准方法论的基础上，紧密结合了互感器行业的特点，主要体现在以下几个方面：</w:t>
      </w:r>
    </w:p>
    <w:p w14:paraId="0F3D1D1E">
      <w:pPr>
        <w:rPr>
          <w:rFonts w:hint="eastAsia"/>
          <w:sz w:val="28"/>
          <w:szCs w:val="28"/>
        </w:rPr>
      </w:pPr>
      <w:r>
        <w:rPr>
          <w:rFonts w:hint="eastAsia"/>
          <w:sz w:val="28"/>
          <w:szCs w:val="28"/>
        </w:rPr>
        <w:t>（一）突出行业针对性，精准识别关键核算环节</w:t>
      </w:r>
    </w:p>
    <w:p w14:paraId="6E4E5721">
      <w:pPr>
        <w:rPr>
          <w:sz w:val="28"/>
          <w:szCs w:val="28"/>
        </w:rPr>
      </w:pPr>
      <w:r>
        <w:rPr>
          <w:rFonts w:hint="eastAsia"/>
          <w:sz w:val="28"/>
          <w:szCs w:val="28"/>
        </w:rPr>
        <w:t>为克服通用标准在行业应用中的“水土不服”问题，本标准在数据收集和核算环节进行了深度定制。</w:t>
      </w:r>
    </w:p>
    <w:p w14:paraId="0DBE5262">
      <w:pPr>
        <w:rPr>
          <w:rFonts w:hint="eastAsia"/>
          <w:sz w:val="28"/>
          <w:szCs w:val="28"/>
        </w:rPr>
      </w:pPr>
      <w:r>
        <w:rPr>
          <w:rFonts w:hint="eastAsia"/>
          <w:sz w:val="28"/>
          <w:szCs w:val="28"/>
        </w:rPr>
        <w:t>1. 关键物料锁定： 在“数据收集”章节，明确将硅钢片、铜材（电磁线）、环氧树脂等列为必须重点核算的原材料。这些物料不仅是产品成本的核心，更是碳足迹的“贡献大户”。以硅钢片和铜为例，其上游冶炼和轧制过程能耗巨大，通常可占产品“摇篮到大门”碳足迹的50%以上。明确的指引使企业能将有限的数据收集资源投入到最关键之处。</w:t>
      </w:r>
    </w:p>
    <w:p w14:paraId="4CA53A61">
      <w:pPr>
        <w:rPr>
          <w:rFonts w:hint="eastAsia"/>
          <w:sz w:val="28"/>
          <w:szCs w:val="28"/>
        </w:rPr>
      </w:pPr>
      <w:r>
        <w:rPr>
          <w:rFonts w:hint="eastAsia"/>
          <w:sz w:val="28"/>
          <w:szCs w:val="28"/>
        </w:rPr>
        <w:t>2. 高能耗工艺聚焦： 指南明确指出绝缘处理（真空浸渍、浇注）、固化（烘干）、铁心退火等为生产阶段的高能耗工艺环节。要求企业对这些环节的能源消耗（电、天然气）进行重点监测和分表计量，而非简单采用全厂平均能耗进行分摊。这使得核算结果能真实反映不同产品、不同工艺路线的碳排放差异，为技术革新和能效提升指明了方向。</w:t>
      </w:r>
    </w:p>
    <w:p w14:paraId="5C558D74">
      <w:pPr>
        <w:rPr>
          <w:sz w:val="28"/>
          <w:szCs w:val="28"/>
        </w:rPr>
      </w:pPr>
    </w:p>
    <w:p w14:paraId="705FF78B">
      <w:pPr>
        <w:rPr>
          <w:rFonts w:hint="eastAsia"/>
          <w:sz w:val="28"/>
          <w:szCs w:val="28"/>
        </w:rPr>
      </w:pPr>
      <w:r>
        <w:rPr>
          <w:rFonts w:hint="eastAsia"/>
          <w:sz w:val="28"/>
          <w:szCs w:val="28"/>
        </w:rPr>
        <w:t>（二）强化实操性，阶梯式引导企业实施</w:t>
      </w:r>
    </w:p>
    <w:p w14:paraId="2BA2705C">
      <w:pPr>
        <w:rPr>
          <w:sz w:val="28"/>
          <w:szCs w:val="28"/>
        </w:rPr>
      </w:pPr>
      <w:r>
        <w:rPr>
          <w:rFonts w:hint="eastAsia"/>
          <w:sz w:val="28"/>
          <w:szCs w:val="28"/>
        </w:rPr>
        <w:t>考虑到企业，尤其是首次开展核算企业的实际情况，本标准在设计上力求“易于上手，逐步深化”。</w:t>
      </w:r>
    </w:p>
    <w:p w14:paraId="75AFBD0E">
      <w:pPr>
        <w:rPr>
          <w:rFonts w:hint="eastAsia"/>
          <w:sz w:val="28"/>
          <w:szCs w:val="28"/>
        </w:rPr>
      </w:pPr>
      <w:r>
        <w:rPr>
          <w:rFonts w:hint="eastAsia"/>
          <w:sz w:val="28"/>
          <w:szCs w:val="28"/>
        </w:rPr>
        <w:t>1. 明确的默认边界： 将 “从摇篮到大门” 设定为默认的强制性核算边界。这一设定极大地降低了企业初期核算的难度，因为它避免了复杂且不确定性高的使用阶段和废弃阶段建模。企业可以集中精力摸清自身供应链和生产环节的碳足迹。</w:t>
      </w:r>
    </w:p>
    <w:p w14:paraId="5D9F72DA">
      <w:pPr>
        <w:rPr>
          <w:rFonts w:hint="eastAsia"/>
          <w:sz w:val="28"/>
          <w:szCs w:val="28"/>
        </w:rPr>
      </w:pPr>
      <w:r>
        <w:rPr>
          <w:rFonts w:hint="eastAsia"/>
          <w:sz w:val="28"/>
          <w:szCs w:val="28"/>
        </w:rPr>
        <w:t>2. 鼓励扩展与前瞻： 在夯实“摇篮到大门”基础的同时，标准以“可选”形式鼓励条件成熟的企业向全生命周期（“从摇篮到坟墓”）扩展，体现了标准的先进性和引导性。</w:t>
      </w:r>
    </w:p>
    <w:p w14:paraId="01BB39F7">
      <w:pPr>
        <w:rPr>
          <w:rFonts w:hint="eastAsia"/>
          <w:sz w:val="28"/>
          <w:szCs w:val="28"/>
        </w:rPr>
      </w:pPr>
      <w:r>
        <w:rPr>
          <w:rFonts w:hint="eastAsia"/>
          <w:sz w:val="28"/>
          <w:szCs w:val="28"/>
        </w:rPr>
        <w:t>3. 附录的工具化支撑： 附录A（典型生产工艺流程与碳足迹核算要点）和附录B（常见数据来源推荐）是本标准实操性的集中体现。它们将抽象的方法论转化为具体的行动清单，告诉企业“看哪里、查什么、用什么数据”，如同一份详细的“操作手册”，极大方便了企业的落地执行。</w:t>
      </w:r>
    </w:p>
    <w:p w14:paraId="4357473F">
      <w:pPr>
        <w:rPr>
          <w:sz w:val="28"/>
          <w:szCs w:val="28"/>
        </w:rPr>
      </w:pPr>
    </w:p>
    <w:p w14:paraId="763CFA13">
      <w:pPr>
        <w:rPr>
          <w:rFonts w:hint="eastAsia"/>
          <w:sz w:val="28"/>
          <w:szCs w:val="28"/>
        </w:rPr>
      </w:pPr>
      <w:r>
        <w:rPr>
          <w:rFonts w:hint="eastAsia"/>
          <w:sz w:val="28"/>
          <w:szCs w:val="28"/>
        </w:rPr>
        <w:t>（三）确保科学性与可比性，夯实数据质量根基</w:t>
      </w:r>
    </w:p>
    <w:p w14:paraId="6E42E5D4">
      <w:pPr>
        <w:rPr>
          <w:rFonts w:hint="eastAsia"/>
          <w:sz w:val="28"/>
          <w:szCs w:val="28"/>
        </w:rPr>
      </w:pPr>
      <w:r>
        <w:rPr>
          <w:rFonts w:hint="eastAsia"/>
          <w:sz w:val="28"/>
          <w:szCs w:val="28"/>
        </w:rPr>
        <w:t>核算结果的科学、可信、可比是标准的生命线。</w:t>
      </w:r>
    </w:p>
    <w:p w14:paraId="6337D9DC">
      <w:pPr>
        <w:rPr>
          <w:sz w:val="28"/>
          <w:szCs w:val="28"/>
        </w:rPr>
      </w:pPr>
    </w:p>
    <w:p w14:paraId="45D76F86">
      <w:pPr>
        <w:rPr>
          <w:rFonts w:hint="eastAsia"/>
          <w:sz w:val="28"/>
          <w:szCs w:val="28"/>
        </w:rPr>
      </w:pPr>
      <w:r>
        <w:rPr>
          <w:rFonts w:hint="eastAsia"/>
          <w:sz w:val="28"/>
          <w:szCs w:val="28"/>
        </w:rPr>
        <w:t>1. 强调数据质量： 标准独立章节强调数据质量要求，明确了时效性、地理代表性、技术代表性等关键维度。并规定了数据来源的优先级：初级数据 &gt; 特定数据 &gt; 次级数据。这确保了核算结果能真实反映企业和产品的水平。</w:t>
      </w:r>
    </w:p>
    <w:p w14:paraId="2BEC97BF">
      <w:pPr>
        <w:rPr>
          <w:rFonts w:hint="eastAsia"/>
          <w:sz w:val="28"/>
          <w:szCs w:val="28"/>
        </w:rPr>
      </w:pPr>
      <w:r>
        <w:rPr>
          <w:rFonts w:hint="eastAsia"/>
          <w:sz w:val="28"/>
          <w:szCs w:val="28"/>
        </w:rPr>
        <w:t>2. 明晰分配原则： 针对互感器行业多产品共线生产的特点，标准明确了分配优先级：物理分配（如核心物料质量、标准工时）优先于经济分配。这一规定避免了因分配方法选择不当导致的结果扭曲，保障了不同企业、不同产品间核算结果的可比性。</w:t>
      </w:r>
    </w:p>
    <w:p w14:paraId="1ADC5245">
      <w:pPr>
        <w:rPr>
          <w:rFonts w:hint="eastAsia"/>
          <w:sz w:val="28"/>
          <w:szCs w:val="28"/>
        </w:rPr>
      </w:pPr>
      <w:r>
        <w:rPr>
          <w:rFonts w:hint="eastAsia"/>
          <w:sz w:val="28"/>
          <w:szCs w:val="28"/>
        </w:rPr>
        <w:t>3. 要求透明度： 标准在“报告内容”章节强制要求披露核算假设、取舍原则、数据来源及局限性。这种“阳光核算”的要求，既是对报告本身质量的约束，也便于报告使用者正确理解和应用核算结果。</w:t>
      </w:r>
    </w:p>
    <w:p w14:paraId="2EC19927">
      <w:pPr>
        <w:rPr>
          <w:sz w:val="28"/>
          <w:szCs w:val="28"/>
        </w:rPr>
      </w:pPr>
    </w:p>
    <w:p w14:paraId="557F6958">
      <w:pPr>
        <w:rPr>
          <w:rFonts w:hint="eastAsia"/>
          <w:sz w:val="28"/>
          <w:szCs w:val="28"/>
        </w:rPr>
      </w:pPr>
      <w:r>
        <w:rPr>
          <w:rFonts w:hint="eastAsia"/>
          <w:sz w:val="28"/>
          <w:szCs w:val="28"/>
        </w:rPr>
        <w:t>（四）体现前瞻性，引导行业未来方向</w:t>
      </w:r>
    </w:p>
    <w:p w14:paraId="1D8296A7">
      <w:pPr>
        <w:rPr>
          <w:rFonts w:hint="eastAsia"/>
          <w:sz w:val="28"/>
          <w:szCs w:val="28"/>
        </w:rPr>
      </w:pPr>
      <w:r>
        <w:rPr>
          <w:rFonts w:hint="eastAsia"/>
          <w:sz w:val="28"/>
          <w:szCs w:val="28"/>
        </w:rPr>
        <w:t>标准不仅解决当前问题，也着眼于行业未来的发展需求。</w:t>
      </w:r>
    </w:p>
    <w:p w14:paraId="120C3F11">
      <w:pPr>
        <w:rPr>
          <w:sz w:val="28"/>
          <w:szCs w:val="28"/>
        </w:rPr>
      </w:pPr>
    </w:p>
    <w:p w14:paraId="5B879F10">
      <w:pPr>
        <w:rPr>
          <w:rFonts w:hint="eastAsia"/>
          <w:sz w:val="28"/>
          <w:szCs w:val="28"/>
        </w:rPr>
      </w:pPr>
      <w:r>
        <w:rPr>
          <w:rFonts w:hint="eastAsia"/>
          <w:sz w:val="28"/>
          <w:szCs w:val="28"/>
        </w:rPr>
        <w:t>1. 供应链数据获取： 明确鼓励企业向上游供应商索取环境产品声明（EPD） 等经第三方核查的碳足迹数据。这不仅是提升自身核算准确性的需要，更是推动整个供应链协同降碳的关键举措，引导行业从单体竞争转向供应链体系竞争。</w:t>
      </w:r>
    </w:p>
    <w:p w14:paraId="4C4C8776">
      <w:pPr>
        <w:rPr>
          <w:sz w:val="28"/>
          <w:szCs w:val="28"/>
        </w:rPr>
      </w:pPr>
      <w:r>
        <w:rPr>
          <w:sz w:val="28"/>
          <w:szCs w:val="28"/>
        </w:rPr>
        <w:t xml:space="preserve">2. </w:t>
      </w:r>
      <w:r>
        <w:rPr>
          <w:rFonts w:hint="eastAsia"/>
          <w:sz w:val="28"/>
          <w:szCs w:val="28"/>
        </w:rPr>
        <w:t>特种气体管理：</w:t>
      </w:r>
      <w:r>
        <w:rPr>
          <w:sz w:val="28"/>
          <w:szCs w:val="28"/>
        </w:rPr>
        <w:t xml:space="preserve"> </w:t>
      </w:r>
      <w:r>
        <w:rPr>
          <w:rFonts w:hint="eastAsia"/>
          <w:sz w:val="28"/>
          <w:szCs w:val="28"/>
        </w:rPr>
        <w:t>对使用六氟化硫（</w:t>
      </w:r>
      <w:r>
        <w:rPr>
          <w:sz w:val="28"/>
          <w:szCs w:val="28"/>
        </w:rPr>
        <w:t>SF₆</w:t>
      </w:r>
      <w:r>
        <w:rPr>
          <w:rFonts w:hint="eastAsia"/>
          <w:sz w:val="28"/>
          <w:szCs w:val="28"/>
        </w:rPr>
        <w:t>）</w:t>
      </w:r>
      <w:r>
        <w:rPr>
          <w:sz w:val="28"/>
          <w:szCs w:val="28"/>
        </w:rPr>
        <w:t xml:space="preserve"> </w:t>
      </w:r>
      <w:r>
        <w:rPr>
          <w:rFonts w:hint="eastAsia"/>
          <w:sz w:val="28"/>
          <w:szCs w:val="28"/>
        </w:rPr>
        <w:t>作为绝缘介质的互感器，标准要求核算其填充量和泄漏率。</w:t>
      </w:r>
      <w:r>
        <w:rPr>
          <w:sz w:val="28"/>
          <w:szCs w:val="28"/>
        </w:rPr>
        <w:t>SF₆</w:t>
      </w:r>
      <w:r>
        <w:rPr>
          <w:rFonts w:hint="eastAsia"/>
          <w:sz w:val="28"/>
          <w:szCs w:val="28"/>
        </w:rPr>
        <w:t>的全球变暖潜势（</w:t>
      </w:r>
      <w:r>
        <w:rPr>
          <w:sz w:val="28"/>
          <w:szCs w:val="28"/>
        </w:rPr>
        <w:t>GWP</w:t>
      </w:r>
      <w:r>
        <w:rPr>
          <w:rFonts w:hint="eastAsia"/>
          <w:sz w:val="28"/>
          <w:szCs w:val="28"/>
        </w:rPr>
        <w:t>）极高，是</w:t>
      </w:r>
      <w:r>
        <w:rPr>
          <w:sz w:val="28"/>
          <w:szCs w:val="28"/>
        </w:rPr>
        <w:t>CO₂</w:t>
      </w:r>
      <w:r>
        <w:rPr>
          <w:rFonts w:hint="eastAsia"/>
          <w:sz w:val="28"/>
          <w:szCs w:val="28"/>
        </w:rPr>
        <w:t>的万倍以上。对此的关注，体现了标准对高影响因子的敏感性，将引导企业加强密封技术、泄漏检测与回收，并积极探索环保型替代气体。</w:t>
      </w:r>
    </w:p>
    <w:p w14:paraId="65D58026">
      <w:pPr>
        <w:rPr>
          <w:sz w:val="28"/>
          <w:szCs w:val="28"/>
        </w:rPr>
      </w:pPr>
    </w:p>
    <w:p w14:paraId="31F63A28">
      <w:pPr>
        <w:rPr>
          <w:rFonts w:hint="eastAsia"/>
          <w:sz w:val="28"/>
          <w:szCs w:val="28"/>
        </w:rPr>
      </w:pPr>
      <w:r>
        <w:rPr>
          <w:rFonts w:hint="eastAsia"/>
          <w:sz w:val="28"/>
          <w:szCs w:val="28"/>
        </w:rPr>
        <w:t>四、 与现行标准的关联与差异</w:t>
      </w:r>
    </w:p>
    <w:p w14:paraId="4F2CF6B1">
      <w:pPr>
        <w:rPr>
          <w:sz w:val="28"/>
          <w:szCs w:val="28"/>
        </w:rPr>
      </w:pPr>
    </w:p>
    <w:p w14:paraId="108FE750">
      <w:pPr>
        <w:rPr>
          <w:rFonts w:hint="eastAsia"/>
          <w:sz w:val="28"/>
          <w:szCs w:val="28"/>
        </w:rPr>
      </w:pPr>
      <w:r>
        <w:rPr>
          <w:rFonts w:hint="eastAsia"/>
          <w:sz w:val="28"/>
          <w:szCs w:val="28"/>
        </w:rPr>
        <w:t>本标准是对GB/T 24067等基础国家标准在互感器行业的具体化、精细化和补充。它不创建新的方法论，而是将通用框架与行业实践深度融合，形成了专属的、可操作的实施细则。与现行通用标准相比，本标准在系统边界的划定、关键物料与工艺的识别、数据收集的具体内容等方面，提供了通用标准所不具备的、详尽的行业指导。</w:t>
      </w:r>
    </w:p>
    <w:p w14:paraId="13C9EF36">
      <w:pPr>
        <w:rPr>
          <w:sz w:val="28"/>
          <w:szCs w:val="28"/>
        </w:rPr>
      </w:pPr>
    </w:p>
    <w:p w14:paraId="75029DA2">
      <w:pPr>
        <w:rPr>
          <w:rFonts w:hint="eastAsia"/>
          <w:sz w:val="28"/>
          <w:szCs w:val="28"/>
        </w:rPr>
      </w:pPr>
      <w:r>
        <w:rPr>
          <w:rFonts w:hint="eastAsia"/>
          <w:sz w:val="28"/>
          <w:szCs w:val="28"/>
        </w:rPr>
        <w:t>五、 实施建议与预期效益</w:t>
      </w:r>
    </w:p>
    <w:p w14:paraId="51E72302">
      <w:pPr>
        <w:rPr>
          <w:sz w:val="28"/>
          <w:szCs w:val="28"/>
        </w:rPr>
      </w:pPr>
    </w:p>
    <w:p w14:paraId="573D3BD4">
      <w:pPr>
        <w:rPr>
          <w:rFonts w:hint="eastAsia"/>
          <w:sz w:val="28"/>
          <w:szCs w:val="28"/>
        </w:rPr>
      </w:pPr>
      <w:r>
        <w:rPr>
          <w:rFonts w:hint="eastAsia"/>
          <w:sz w:val="28"/>
          <w:szCs w:val="28"/>
        </w:rPr>
        <w:t>（一）实施建议</w:t>
      </w:r>
    </w:p>
    <w:p w14:paraId="3B66C319">
      <w:pPr>
        <w:rPr>
          <w:sz w:val="28"/>
          <w:szCs w:val="28"/>
        </w:rPr>
      </w:pPr>
    </w:p>
    <w:p w14:paraId="3EB46271">
      <w:pPr>
        <w:rPr>
          <w:rFonts w:hint="eastAsia"/>
          <w:sz w:val="28"/>
          <w:szCs w:val="28"/>
        </w:rPr>
      </w:pPr>
      <w:r>
        <w:rPr>
          <w:rFonts w:hint="eastAsia"/>
          <w:sz w:val="28"/>
          <w:szCs w:val="28"/>
        </w:rPr>
        <w:t>1. 加强宣贯培训，组织行业内企业学习标准内容，培养碳足迹核算专业人才。</w:t>
      </w:r>
    </w:p>
    <w:p w14:paraId="735FA96B">
      <w:pPr>
        <w:rPr>
          <w:rFonts w:hint="eastAsia"/>
          <w:sz w:val="28"/>
          <w:szCs w:val="28"/>
        </w:rPr>
      </w:pPr>
      <w:r>
        <w:rPr>
          <w:rFonts w:hint="eastAsia"/>
          <w:sz w:val="28"/>
          <w:szCs w:val="28"/>
        </w:rPr>
        <w:t>2. 建议由归口单位或第三方机构牵头，逐步建立互感器行业核心原材料（如硅钢片、环氧树脂）的碳排放背景数据库，降低企业数据获取成本。</w:t>
      </w:r>
    </w:p>
    <w:p w14:paraId="1AF1CFD6">
      <w:pPr>
        <w:rPr>
          <w:rFonts w:hint="eastAsia"/>
          <w:sz w:val="28"/>
          <w:szCs w:val="28"/>
        </w:rPr>
      </w:pPr>
      <w:r>
        <w:rPr>
          <w:rFonts w:hint="eastAsia"/>
          <w:sz w:val="28"/>
          <w:szCs w:val="28"/>
        </w:rPr>
        <w:t>3. 鼓励龙头企业率先依据本标准开展核算与验证，形成示范效应，并持续收集反馈意见，为标准的后续修订完善积累经验。</w:t>
      </w:r>
    </w:p>
    <w:p w14:paraId="1500738A">
      <w:pPr>
        <w:rPr>
          <w:sz w:val="28"/>
          <w:szCs w:val="28"/>
        </w:rPr>
      </w:pPr>
    </w:p>
    <w:p w14:paraId="0167A9EB">
      <w:pPr>
        <w:rPr>
          <w:rFonts w:hint="eastAsia"/>
          <w:sz w:val="28"/>
          <w:szCs w:val="28"/>
        </w:rPr>
      </w:pPr>
      <w:r>
        <w:rPr>
          <w:rFonts w:hint="eastAsia"/>
          <w:sz w:val="28"/>
          <w:szCs w:val="28"/>
        </w:rPr>
        <w:t>（二）预期效益</w:t>
      </w:r>
    </w:p>
    <w:p w14:paraId="7FC8B933">
      <w:pPr>
        <w:rPr>
          <w:rFonts w:hint="eastAsia"/>
          <w:sz w:val="28"/>
          <w:szCs w:val="28"/>
        </w:rPr>
      </w:pPr>
      <w:r>
        <w:rPr>
          <w:rFonts w:hint="eastAsia"/>
          <w:sz w:val="28"/>
          <w:szCs w:val="28"/>
        </w:rPr>
        <w:t>通过本标准的实施，预期将产生以下显著效益：</w:t>
      </w:r>
    </w:p>
    <w:p w14:paraId="4FDC3A6C">
      <w:pPr>
        <w:rPr>
          <w:sz w:val="28"/>
          <w:szCs w:val="28"/>
        </w:rPr>
      </w:pPr>
    </w:p>
    <w:p w14:paraId="00FBC5B8">
      <w:pPr>
        <w:rPr>
          <w:rFonts w:hint="eastAsia"/>
          <w:sz w:val="28"/>
          <w:szCs w:val="28"/>
        </w:rPr>
      </w:pPr>
      <w:r>
        <w:rPr>
          <w:rFonts w:hint="eastAsia"/>
          <w:sz w:val="28"/>
          <w:szCs w:val="28"/>
        </w:rPr>
        <w:t>对企业： 提升碳管理能力，精准降碳，降低合规与贸易风险，打造绿色品牌。</w:t>
      </w:r>
    </w:p>
    <w:p w14:paraId="77D15E90">
      <w:pPr>
        <w:rPr>
          <w:rFonts w:hint="eastAsia"/>
          <w:sz w:val="28"/>
          <w:szCs w:val="28"/>
        </w:rPr>
      </w:pPr>
      <w:r>
        <w:rPr>
          <w:rFonts w:hint="eastAsia"/>
          <w:sz w:val="28"/>
          <w:szCs w:val="28"/>
        </w:rPr>
        <w:t>对行业： 建立统一的碳足迹核算体系，推动技术进步和供应链绿色协同，提升行业整体低碳竞争力。</w:t>
      </w:r>
    </w:p>
    <w:p w14:paraId="262948A4">
      <w:pPr>
        <w:rPr>
          <w:rFonts w:hint="eastAsia"/>
          <w:sz w:val="28"/>
          <w:szCs w:val="28"/>
        </w:rPr>
      </w:pPr>
      <w:r>
        <w:rPr>
          <w:rFonts w:hint="eastAsia"/>
          <w:sz w:val="28"/>
          <w:szCs w:val="28"/>
        </w:rPr>
        <w:t>对社会： 为构建绿色电力系统、实现国家“双碳”目标提供坚实的技术支撑和数据基础。</w:t>
      </w:r>
    </w:p>
    <w:p w14:paraId="3F16526D">
      <w:pPr>
        <w:rPr>
          <w:sz w:val="28"/>
          <w:szCs w:val="28"/>
        </w:rPr>
      </w:pPr>
    </w:p>
    <w:p w14:paraId="446AFD3D">
      <w:pPr>
        <w:rPr>
          <w:sz w:val="28"/>
          <w:szCs w:val="28"/>
        </w:rPr>
      </w:pPr>
      <w:r>
        <w:rPr>
          <w:sz w:val="28"/>
          <w:szCs w:val="28"/>
        </w:rPr>
        <w:t>---</w:t>
      </w:r>
    </w:p>
    <w:p w14:paraId="28E33DC7">
      <w:pPr>
        <w:rPr>
          <w:sz w:val="28"/>
          <w:szCs w:val="28"/>
        </w:rPr>
      </w:pPr>
    </w:p>
    <w:p w14:paraId="2D76CAD4">
      <w:pPr>
        <w:ind w:firstLine="4760" w:firstLineChars="1700"/>
        <w:rPr>
          <w:rFonts w:hint="eastAsia"/>
          <w:sz w:val="28"/>
          <w:szCs w:val="28"/>
        </w:rPr>
      </w:pPr>
      <w:r>
        <w:rPr>
          <w:rFonts w:hint="eastAsia"/>
          <w:sz w:val="28"/>
          <w:szCs w:val="28"/>
        </w:rPr>
        <w:t>编制工作组</w:t>
      </w:r>
    </w:p>
    <w:p w14:paraId="0325E76C">
      <w:pPr>
        <w:ind w:firstLine="4480" w:firstLineChars="1600"/>
        <w:rPr>
          <w:sz w:val="28"/>
          <w:szCs w:val="28"/>
        </w:rPr>
      </w:pPr>
      <w:bookmarkStart w:id="0" w:name="_GoBack"/>
      <w:bookmarkEnd w:id="0"/>
      <w:r>
        <w:rPr>
          <w:rFonts w:hint="eastAsia"/>
          <w:sz w:val="28"/>
          <w:szCs w:val="28"/>
          <w:lang w:val="en-US" w:eastAsia="zh-CN"/>
        </w:rPr>
        <w:t>2025</w:t>
      </w:r>
      <w:r>
        <w:rPr>
          <w:rFonts w:hint="eastAsia"/>
          <w:sz w:val="28"/>
          <w:szCs w:val="28"/>
        </w:rPr>
        <w:t>年</w:t>
      </w:r>
      <w:r>
        <w:rPr>
          <w:rFonts w:hint="eastAsia"/>
          <w:sz w:val="28"/>
          <w:szCs w:val="28"/>
          <w:lang w:val="en-US" w:eastAsia="zh-CN"/>
        </w:rPr>
        <w:t>10</w:t>
      </w:r>
      <w:r>
        <w:rPr>
          <w:rFonts w:hint="eastAsia"/>
          <w:sz w:val="28"/>
          <w:szCs w:val="28"/>
        </w:rPr>
        <w:t>月</w:t>
      </w:r>
      <w:r>
        <w:rPr>
          <w:rFonts w:hint="eastAsia"/>
          <w:sz w:val="28"/>
          <w:szCs w:val="28"/>
          <w:lang w:val="en-US" w:eastAsia="zh-CN"/>
        </w:rPr>
        <w:t>10</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5AD9"/>
    <w:rsid w:val="001E1B62"/>
    <w:rsid w:val="00815AD9"/>
    <w:rsid w:val="38892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2862</Words>
  <Characters>3032</Characters>
  <Lines>23</Lines>
  <Paragraphs>6</Paragraphs>
  <TotalTime>7</TotalTime>
  <ScaleCrop>false</ScaleCrop>
  <LinksUpToDate>false</LinksUpToDate>
  <CharactersWithSpaces>3135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2025-10-14T03:43:00Z</dcterms:created>
  <dc:creator>Administrator</dc:creator>
  <cp:lastModifiedBy>果.冻</cp:lastModifiedBy>
  <dcterms:modified xsi:type="dcterms:W3CDTF">2025-10-27T14:38:22Z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eyJoZGlkIjoiMWQ0NWZhMTk5NDdjYmU4ZDU4OTEzNzY1MGFkNDkyZTEiLCJ1c2VySWQiOiI1MTk4NTQzMTAifQ==</vt:lpwstr>
  </property>
  <property fmtid="{D5CDD505-2E9C-101B-9397-08002B2CF9AE}" pid="3" name="KSOProductBuildVer">
    <vt:lpwstr>2052-12.1.0.23125</vt:lpwstr>
  </property>
  <property fmtid="{D5CDD505-2E9C-101B-9397-08002B2CF9AE}" pid="4" name="ICV">
    <vt:lpwstr>60A38C40604846B7872813ADCF71F0A7_12</vt:lpwstr>
  </property>
</Properties>
</file>